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jc w:val="left"/>
        <w:rPr>
          <w:rFonts w:hint="eastAsia" w:ascii="方正小标宋简体" w:hAnsi="方正小标宋简体" w:eastAsia="方正小标宋简体" w:cs="方正小标宋简体"/>
          <w:i w:val="0"/>
          <w:iCs w:val="0"/>
          <w:caps w:val="0"/>
          <w:color w:val="333333"/>
          <w:spacing w:val="0"/>
          <w:sz w:val="44"/>
          <w:szCs w:val="44"/>
          <w:shd w:val="clear" w:fill="FFFFFF"/>
        </w:rPr>
      </w:pPr>
      <w:r>
        <w:rPr>
          <w:rFonts w:hint="eastAsia" w:ascii="方正小标宋简体" w:hAnsi="方正小标宋简体" w:eastAsia="方正小标宋简体" w:cs="方正小标宋简体"/>
          <w:i w:val="0"/>
          <w:iCs w:val="0"/>
          <w:caps w:val="0"/>
          <w:color w:val="333333"/>
          <w:spacing w:val="0"/>
          <w:sz w:val="44"/>
          <w:szCs w:val="44"/>
          <w:shd w:val="clear" w:fill="FFFFFF"/>
        </w:rPr>
        <w:t>追加3000亿元以上金融工具额度、用好5000多亿元专项债地方结存限额……稳经济一揽子政策的接续政策来了！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jc w:val="left"/>
        <w:rPr>
          <w:rFonts w:hint="eastAsia" w:ascii="方正小标宋简体" w:hAnsi="方正小标宋简体" w:eastAsia="方正小标宋简体" w:cs="方正小标宋简体"/>
          <w:i w:val="0"/>
          <w:iCs w:val="0"/>
          <w:caps w:val="0"/>
          <w:color w:val="333333"/>
          <w:spacing w:val="0"/>
          <w:sz w:val="44"/>
          <w:szCs w:val="44"/>
          <w:shd w:val="clear" w:fill="FFFFFF"/>
        </w:rPr>
      </w:pPr>
      <w:r>
        <w:rPr>
          <w:rFonts w:hint="eastAsia" w:ascii="宋体" w:hAnsi="宋体" w:eastAsia="宋体" w:cs="宋体"/>
          <w:i w:val="0"/>
          <w:iCs w:val="0"/>
          <w:caps w:val="0"/>
          <w:color w:val="666666"/>
          <w:spacing w:val="0"/>
          <w:sz w:val="21"/>
          <w:szCs w:val="21"/>
          <w:shd w:val="clear" w:fill="FFFFFF"/>
        </w:rPr>
        <w:t>2022-09-05 20:51</w:t>
      </w:r>
      <w:r>
        <w:rPr>
          <w:rFonts w:hint="eastAsia" w:ascii="宋体" w:hAnsi="宋体" w:eastAsia="宋体" w:cs="宋体"/>
          <w:i w:val="0"/>
          <w:iCs w:val="0"/>
          <w:caps w:val="0"/>
          <w:color w:val="666666"/>
          <w:spacing w:val="0"/>
          <w:sz w:val="21"/>
          <w:szCs w:val="21"/>
          <w:shd w:val="clear" w:fill="FFFFFF"/>
          <w:lang w:val="en-US" w:eastAsia="zh-CN"/>
        </w:rPr>
        <w:t xml:space="preserve"> </w:t>
      </w:r>
      <w:r>
        <w:rPr>
          <w:rFonts w:hint="eastAsia" w:ascii="宋体" w:hAnsi="宋体" w:eastAsia="宋体" w:cs="宋体"/>
          <w:i w:val="0"/>
          <w:iCs w:val="0"/>
          <w:caps w:val="0"/>
          <w:color w:val="666666"/>
          <w:spacing w:val="0"/>
          <w:sz w:val="21"/>
          <w:szCs w:val="21"/>
          <w:shd w:val="clear" w:fill="FFFFFF"/>
        </w:rPr>
        <w:t>来源：中国政府网</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jc w:val="left"/>
        <w:rPr>
          <w:rFonts w:hint="eastAsia" w:ascii="仿宋_GB2312" w:hAnsi="仿宋_GB2312" w:eastAsia="仿宋_GB2312" w:cs="仿宋_GB2312"/>
          <w:i w:val="0"/>
          <w:iCs w:val="0"/>
          <w:caps w:val="0"/>
          <w:color w:val="333333"/>
          <w:spacing w:val="0"/>
          <w:sz w:val="32"/>
          <w:szCs w:val="32"/>
          <w:shd w:val="clear" w:fill="FFFFFF"/>
          <w:lang w:val="en-US" w:eastAsia="zh-CN"/>
        </w:rPr>
      </w:pPr>
      <w:r>
        <w:rPr>
          <w:rFonts w:hint="eastAsia" w:ascii="仿宋_GB2312" w:hAnsi="仿宋_GB2312" w:eastAsia="仿宋_GB2312" w:cs="仿宋_GB2312"/>
          <w:i w:val="0"/>
          <w:iCs w:val="0"/>
          <w:caps w:val="0"/>
          <w:color w:val="333333"/>
          <w:spacing w:val="0"/>
          <w:sz w:val="32"/>
          <w:szCs w:val="32"/>
          <w:shd w:val="clear" w:fill="FFFFFF"/>
        </w:rPr>
        <w:t>近日，国务院召开常务会议，部署稳经济一揽子政策的接续政策措施。国务院新闻办公室于9月5日下午举行国务院政策例行吹风会，介绍稳经济一揽子政策的接续政策措施。稳经济一揽子政策措施落实情况如何？接续政策中又有哪些重要举措？一起来看</w:t>
      </w:r>
      <w:r>
        <w:rPr>
          <w:rFonts w:hint="eastAsia" w:ascii="仿宋_GB2312" w:hAnsi="仿宋_GB2312" w:eastAsia="仿宋_GB2312" w:cs="仿宋_GB2312"/>
          <w:i w:val="0"/>
          <w:iCs w:val="0"/>
          <w:caps w:val="0"/>
          <w:color w:val="333333"/>
          <w:spacing w:val="0"/>
          <w:sz w:val="32"/>
          <w:szCs w:val="32"/>
          <w:shd w:val="clear" w:fill="FFFFFF"/>
          <w:lang w:eastAsia="zh-CN"/>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Q1</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Q：在金融方面，如何落实好稳经济一揽子政策和接续政策？</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A：</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一是增强信贷总量增长的稳定性</w:t>
      </w:r>
      <w:r>
        <w:rPr>
          <w:rFonts w:hint="eastAsia" w:ascii="仿宋_GB2312" w:hAnsi="仿宋_GB2312" w:eastAsia="仿宋_GB2312" w:cs="仿宋_GB2312"/>
          <w:i w:val="0"/>
          <w:iCs w:val="0"/>
          <w:caps w:val="0"/>
          <w:color w:val="333333"/>
          <w:spacing w:val="0"/>
          <w:sz w:val="32"/>
          <w:szCs w:val="32"/>
          <w:shd w:val="clear" w:fill="FFFFFF"/>
        </w:rPr>
        <w:t>。在向政策性开发性银行新增8000亿元信贷额度、新设3000亿元政策性开发性金融工具额度的基础上，</w:t>
      </w:r>
      <w:r>
        <w:rPr>
          <w:rFonts w:hint="eastAsia" w:ascii="仿宋_GB2312" w:hAnsi="仿宋_GB2312" w:eastAsia="仿宋_GB2312" w:cs="仿宋_GB2312"/>
          <w:b/>
          <w:bCs/>
          <w:i w:val="0"/>
          <w:iCs w:val="0"/>
          <w:caps w:val="0"/>
          <w:color w:val="333333"/>
          <w:spacing w:val="0"/>
          <w:sz w:val="32"/>
          <w:szCs w:val="32"/>
          <w:shd w:val="clear" w:fill="FFFFFF"/>
        </w:rPr>
        <w:t>追加3000亿元以上金融工具额度</w:t>
      </w:r>
      <w:r>
        <w:rPr>
          <w:rFonts w:hint="eastAsia" w:ascii="仿宋_GB2312" w:hAnsi="仿宋_GB2312" w:eastAsia="仿宋_GB2312" w:cs="仿宋_GB2312"/>
          <w:i w:val="0"/>
          <w:iCs w:val="0"/>
          <w:caps w:val="0"/>
          <w:color w:val="333333"/>
          <w:spacing w:val="0"/>
          <w:sz w:val="32"/>
          <w:szCs w:val="32"/>
          <w:shd w:val="clear" w:fill="FFFFFF"/>
        </w:rPr>
        <w:t>，并可以根据实际需要扩大规模。</w:t>
      </w:r>
      <w:r>
        <w:rPr>
          <w:rFonts w:hint="eastAsia" w:ascii="仿宋_GB2312" w:hAnsi="仿宋_GB2312" w:eastAsia="仿宋_GB2312" w:cs="仿宋_GB2312"/>
          <w:b/>
          <w:bCs/>
          <w:i w:val="0"/>
          <w:iCs w:val="0"/>
          <w:caps w:val="0"/>
          <w:color w:val="333333"/>
          <w:spacing w:val="0"/>
          <w:sz w:val="32"/>
          <w:szCs w:val="32"/>
          <w:shd w:val="clear" w:fill="FFFFFF"/>
        </w:rPr>
        <w:t>加大对基础设施建设和重大项目的支持力度，将老旧小区改造、省级高速公路等纳入支持领域</w:t>
      </w:r>
      <w:r>
        <w:rPr>
          <w:rFonts w:hint="eastAsia" w:ascii="仿宋_GB2312" w:hAnsi="仿宋_GB2312" w:eastAsia="仿宋_GB2312" w:cs="仿宋_GB2312"/>
          <w:i w:val="0"/>
          <w:iCs w:val="0"/>
          <w:caps w:val="0"/>
          <w:color w:val="333333"/>
          <w:spacing w:val="0"/>
          <w:sz w:val="32"/>
          <w:szCs w:val="32"/>
          <w:shd w:val="clear" w:fill="FFFFFF"/>
        </w:rPr>
        <w:t>。引导金融机构扩大中长期贷款，鼓励金融机构发行“三农”、小微企业专项金融债券，拓宽可贷资金来源。</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二是推动降低企业融资成本</w:t>
      </w:r>
      <w:r>
        <w:rPr>
          <w:rFonts w:hint="eastAsia" w:ascii="仿宋_GB2312" w:hAnsi="仿宋_GB2312" w:eastAsia="仿宋_GB2312" w:cs="仿宋_GB2312"/>
          <w:i w:val="0"/>
          <w:iCs w:val="0"/>
          <w:caps w:val="0"/>
          <w:color w:val="333333"/>
          <w:spacing w:val="0"/>
          <w:sz w:val="32"/>
          <w:szCs w:val="32"/>
          <w:shd w:val="clear" w:fill="FFFFFF"/>
        </w:rPr>
        <w:t>。1月、8月公开市场操作和中期借贷便利（MLF）中标利率两次累计下降了20个基点，带动1年期贷款市场报价利率（LPR）下行0.15个百分点，5年期以上贷款市场报价利率下行0.35个百分点。下一步，要进一步发挥贷款市场报价利率指导性作用和存款利率市场化调整机制的作用，引导金融机构将存款利率下降效果传导到贷款端，</w:t>
      </w:r>
      <w:r>
        <w:rPr>
          <w:rFonts w:hint="eastAsia" w:ascii="仿宋_GB2312" w:hAnsi="仿宋_GB2312" w:eastAsia="仿宋_GB2312" w:cs="仿宋_GB2312"/>
          <w:b/>
          <w:bCs/>
          <w:i w:val="0"/>
          <w:iCs w:val="0"/>
          <w:caps w:val="0"/>
          <w:color w:val="333333"/>
          <w:spacing w:val="0"/>
          <w:sz w:val="32"/>
          <w:szCs w:val="32"/>
          <w:shd w:val="clear" w:fill="FFFFFF"/>
        </w:rPr>
        <w:t>降低企业融资和个人信贷的成本</w:t>
      </w:r>
      <w:r>
        <w:rPr>
          <w:rFonts w:hint="eastAsia" w:ascii="仿宋_GB2312" w:hAnsi="仿宋_GB2312" w:eastAsia="仿宋_GB2312" w:cs="仿宋_GB2312"/>
          <w:i w:val="0"/>
          <w:iCs w:val="0"/>
          <w:caps w:val="0"/>
          <w:color w:val="333333"/>
          <w:spacing w:val="0"/>
          <w:sz w:val="32"/>
          <w:szCs w:val="32"/>
          <w:shd w:val="clear" w:fill="FFFFFF"/>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三是突出重点领域、薄弱环节和受疫情影响行业的支持</w:t>
      </w:r>
      <w:r>
        <w:rPr>
          <w:rFonts w:hint="eastAsia" w:ascii="仿宋_GB2312" w:hAnsi="仿宋_GB2312" w:eastAsia="仿宋_GB2312" w:cs="仿宋_GB2312"/>
          <w:i w:val="0"/>
          <w:iCs w:val="0"/>
          <w:caps w:val="0"/>
          <w:color w:val="333333"/>
          <w:spacing w:val="0"/>
          <w:sz w:val="32"/>
          <w:szCs w:val="32"/>
          <w:shd w:val="clear" w:fill="FFFFFF"/>
        </w:rPr>
        <w:t>。用好支农支小再贷款，落实好支持煤炭清洁高效利用、科技创新、普惠养老、交通物流专项再贷款和普惠小微贷款支持工具、碳减排支持工具。继续对小微企业和个体工商户、货车司机贷款及受疫情影响的个人住房与消费贷款等</w:t>
      </w:r>
      <w:r>
        <w:rPr>
          <w:rFonts w:hint="eastAsia" w:ascii="仿宋_GB2312" w:hAnsi="仿宋_GB2312" w:eastAsia="仿宋_GB2312" w:cs="仿宋_GB2312"/>
          <w:b/>
          <w:bCs/>
          <w:i w:val="0"/>
          <w:iCs w:val="0"/>
          <w:caps w:val="0"/>
          <w:color w:val="333333"/>
          <w:spacing w:val="0"/>
          <w:sz w:val="32"/>
          <w:szCs w:val="32"/>
          <w:shd w:val="clear" w:fill="FFFFFF"/>
        </w:rPr>
        <w:t>实施延期还本付息</w:t>
      </w:r>
      <w:r>
        <w:rPr>
          <w:rFonts w:hint="eastAsia" w:ascii="仿宋_GB2312" w:hAnsi="仿宋_GB2312" w:eastAsia="仿宋_GB2312" w:cs="仿宋_GB2312"/>
          <w:i w:val="0"/>
          <w:iCs w:val="0"/>
          <w:caps w:val="0"/>
          <w:color w:val="333333"/>
          <w:spacing w:val="0"/>
          <w:sz w:val="32"/>
          <w:szCs w:val="32"/>
          <w:shd w:val="clear" w:fill="FFFFFF"/>
        </w:rPr>
        <w:t>。保障房地产合理融资需求，合理支持刚性和改善性住房需求。依法合规加大对平台经济重点领域的金融支持，促进平台经济健康持续发展。</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Q2</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Q：3000亿政策性开发性金融工具具体落实情况如何？为什么要再增加3000亿元以上的额度？</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A：</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3000亿政策性开发性金融工具落实情况</w:t>
      </w:r>
      <w:r>
        <w:rPr>
          <w:rFonts w:hint="eastAsia" w:ascii="仿宋_GB2312" w:hAnsi="仿宋_GB2312" w:eastAsia="仿宋_GB2312" w:cs="仿宋_GB2312"/>
          <w:i w:val="0"/>
          <w:iCs w:val="0"/>
          <w:caps w:val="0"/>
          <w:color w:val="333333"/>
          <w:spacing w:val="0"/>
          <w:sz w:val="32"/>
          <w:szCs w:val="32"/>
          <w:shd w:val="clear" w:fill="FFFFFF"/>
        </w:rPr>
        <w:t>——按照国务院常务会议的部署安排，今年7月，人民银行支持开发银行、农业发展银行分别设立运营金融工具总共3000亿元，以补充重大项目资本金，同时指导两家银行做好项目对接工作。发展改革委牵头成立推进有效投资重要项目协调机制，筛选备选项目，加强用地、环评等要素保障，高效推进项目签约和资金投放。在各方面协力推动下，8月26日，3000亿元已全部完成投放，支持重大项目超过900个。</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为什么要再增加3000亿元以上的额度</w:t>
      </w:r>
      <w:r>
        <w:rPr>
          <w:rFonts w:hint="eastAsia" w:ascii="仿宋_GB2312" w:hAnsi="仿宋_GB2312" w:eastAsia="仿宋_GB2312" w:cs="仿宋_GB2312"/>
          <w:i w:val="0"/>
          <w:iCs w:val="0"/>
          <w:caps w:val="0"/>
          <w:color w:val="333333"/>
          <w:spacing w:val="0"/>
          <w:sz w:val="32"/>
          <w:szCs w:val="32"/>
          <w:shd w:val="clear" w:fill="FFFFFF"/>
        </w:rPr>
        <w:t>——当前，我国经济延续恢复发展态势，但是仍然有小幅波动，正处于经济回稳最吃劲的节点，必须以时不我待的紧迫感，巩固经济恢复发展基础。再增加3000亿元以上的额度补充项目资本金，这</w:t>
      </w:r>
      <w:r>
        <w:rPr>
          <w:rFonts w:hint="eastAsia" w:ascii="仿宋_GB2312" w:hAnsi="仿宋_GB2312" w:eastAsia="仿宋_GB2312" w:cs="仿宋_GB2312"/>
          <w:b/>
          <w:bCs/>
          <w:i w:val="0"/>
          <w:iCs w:val="0"/>
          <w:caps w:val="0"/>
          <w:color w:val="333333"/>
          <w:spacing w:val="0"/>
          <w:sz w:val="32"/>
          <w:szCs w:val="32"/>
          <w:shd w:val="clear" w:fill="FFFFFF"/>
        </w:rPr>
        <w:t>有助于更好发挥有效投资“补短板、调结构、稳就业、带消费”的综合效应</w:t>
      </w:r>
      <w:r>
        <w:rPr>
          <w:rFonts w:hint="eastAsia" w:ascii="仿宋_GB2312" w:hAnsi="仿宋_GB2312" w:eastAsia="仿宋_GB2312" w:cs="仿宋_GB2312"/>
          <w:i w:val="0"/>
          <w:iCs w:val="0"/>
          <w:caps w:val="0"/>
          <w:color w:val="333333"/>
          <w:spacing w:val="0"/>
          <w:sz w:val="32"/>
          <w:szCs w:val="32"/>
          <w:shd w:val="clear" w:fill="FFFFFF"/>
        </w:rPr>
        <w:t>，支持经济恢复发展。同时，</w:t>
      </w:r>
      <w:r>
        <w:rPr>
          <w:rFonts w:hint="eastAsia" w:ascii="仿宋_GB2312" w:hAnsi="仿宋_GB2312" w:eastAsia="仿宋_GB2312" w:cs="仿宋_GB2312"/>
          <w:b/>
          <w:bCs/>
          <w:i w:val="0"/>
          <w:iCs w:val="0"/>
          <w:caps w:val="0"/>
          <w:color w:val="333333"/>
          <w:spacing w:val="0"/>
          <w:sz w:val="32"/>
          <w:szCs w:val="32"/>
          <w:shd w:val="clear" w:fill="FFFFFF"/>
        </w:rPr>
        <w:t>增加3000亿元以上额度也是可行的，从发改委牵头准备的备选项目情况看，新增额度是可以对接到项目的，是可以落地的</w:t>
      </w:r>
      <w:r>
        <w:rPr>
          <w:rFonts w:hint="eastAsia" w:ascii="仿宋_GB2312" w:hAnsi="仿宋_GB2312" w:eastAsia="仿宋_GB2312" w:cs="仿宋_GB2312"/>
          <w:i w:val="0"/>
          <w:iCs w:val="0"/>
          <w:caps w:val="0"/>
          <w:color w:val="333333"/>
          <w:spacing w:val="0"/>
          <w:sz w:val="32"/>
          <w:szCs w:val="32"/>
          <w:shd w:val="clear" w:fill="FFFFFF"/>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Q3</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Q：专项债结存限额指的是什么？5000多亿元将重点投向哪些领域？</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A：</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i w:val="0"/>
          <w:iCs w:val="0"/>
          <w:caps w:val="0"/>
          <w:color w:val="333333"/>
          <w:spacing w:val="0"/>
          <w:sz w:val="32"/>
          <w:szCs w:val="32"/>
          <w:shd w:val="clear" w:fill="FFFFFF"/>
        </w:rPr>
        <w:t>国务院常务会议提出，</w:t>
      </w:r>
      <w:r>
        <w:rPr>
          <w:rFonts w:hint="eastAsia" w:ascii="仿宋_GB2312" w:hAnsi="仿宋_GB2312" w:eastAsia="仿宋_GB2312" w:cs="仿宋_GB2312"/>
          <w:b/>
          <w:bCs/>
          <w:i w:val="0"/>
          <w:iCs w:val="0"/>
          <w:caps w:val="0"/>
          <w:color w:val="333333"/>
          <w:spacing w:val="0"/>
          <w:sz w:val="32"/>
          <w:szCs w:val="32"/>
          <w:shd w:val="clear" w:fill="FFFFFF"/>
        </w:rPr>
        <w:t>要依法用好5000多亿元专项债地方结存限额</w:t>
      </w:r>
      <w:r>
        <w:rPr>
          <w:rFonts w:hint="eastAsia" w:ascii="仿宋_GB2312" w:hAnsi="仿宋_GB2312" w:eastAsia="仿宋_GB2312" w:cs="仿宋_GB2312"/>
          <w:i w:val="0"/>
          <w:iCs w:val="0"/>
          <w:caps w:val="0"/>
          <w:color w:val="333333"/>
          <w:spacing w:val="0"/>
          <w:sz w:val="32"/>
          <w:szCs w:val="32"/>
          <w:shd w:val="clear" w:fill="FFFFFF"/>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什么是专项债务结存限额</w:t>
      </w:r>
      <w:r>
        <w:rPr>
          <w:rFonts w:hint="eastAsia" w:ascii="仿宋_GB2312" w:hAnsi="仿宋_GB2312" w:eastAsia="仿宋_GB2312" w:cs="仿宋_GB2312"/>
          <w:i w:val="0"/>
          <w:iCs w:val="0"/>
          <w:caps w:val="0"/>
          <w:color w:val="333333"/>
          <w:spacing w:val="0"/>
          <w:sz w:val="32"/>
          <w:szCs w:val="32"/>
          <w:shd w:val="clear" w:fill="FFFFFF"/>
        </w:rPr>
        <w:t>——根据现行的政策规定，地方政府债务余额实行限额管理，地方政府债务总限额由国务院根据国家宏观经济形势等因素确定，并报全国人民代表大会批准。专项债务结存限额，就是</w:t>
      </w:r>
      <w:r>
        <w:rPr>
          <w:rFonts w:hint="eastAsia" w:ascii="仿宋_GB2312" w:hAnsi="仿宋_GB2312" w:eastAsia="仿宋_GB2312" w:cs="仿宋_GB2312"/>
          <w:b/>
          <w:bCs/>
          <w:i w:val="0"/>
          <w:iCs w:val="0"/>
          <w:caps w:val="0"/>
          <w:color w:val="333333"/>
          <w:spacing w:val="0"/>
          <w:sz w:val="32"/>
          <w:szCs w:val="32"/>
          <w:shd w:val="clear" w:fill="FFFFFF"/>
        </w:rPr>
        <w:t>专项债务余额小于限额的部分</w:t>
      </w:r>
      <w:r>
        <w:rPr>
          <w:rFonts w:hint="eastAsia" w:ascii="仿宋_GB2312" w:hAnsi="仿宋_GB2312" w:eastAsia="仿宋_GB2312" w:cs="仿宋_GB2312"/>
          <w:i w:val="0"/>
          <w:iCs w:val="0"/>
          <w:caps w:val="0"/>
          <w:color w:val="333333"/>
          <w:spacing w:val="0"/>
          <w:sz w:val="32"/>
          <w:szCs w:val="32"/>
          <w:shd w:val="clear" w:fill="FFFFFF"/>
        </w:rPr>
        <w:t>，主要是各地为控制债务风险水平，通过加强财政收支管理，安排财政资金偿还到期专项债券，减少专项债务余额，相应形成的限额空间。</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5000多亿元重点投向哪里</w:t>
      </w:r>
      <w:r>
        <w:rPr>
          <w:rFonts w:hint="eastAsia" w:ascii="仿宋_GB2312" w:hAnsi="仿宋_GB2312" w:eastAsia="仿宋_GB2312" w:cs="仿宋_GB2312"/>
          <w:i w:val="0"/>
          <w:iCs w:val="0"/>
          <w:caps w:val="0"/>
          <w:color w:val="333333"/>
          <w:spacing w:val="0"/>
          <w:sz w:val="32"/>
          <w:szCs w:val="32"/>
          <w:shd w:val="clear" w:fill="FFFFFF"/>
        </w:rPr>
        <w:t>——总的考虑是，通过发行新增专项债券，重点支持交通基础设施、能源、农林水利、生态环保、社会事业、城乡冷链等</w:t>
      </w:r>
      <w:r>
        <w:rPr>
          <w:rFonts w:hint="eastAsia" w:ascii="仿宋_GB2312" w:hAnsi="仿宋_GB2312" w:eastAsia="仿宋_GB2312" w:cs="仿宋_GB2312"/>
          <w:b/>
          <w:bCs/>
          <w:i w:val="0"/>
          <w:iCs w:val="0"/>
          <w:caps w:val="0"/>
          <w:color w:val="333333"/>
          <w:spacing w:val="0"/>
          <w:sz w:val="32"/>
          <w:szCs w:val="32"/>
          <w:shd w:val="clear" w:fill="FFFFFF"/>
        </w:rPr>
        <w:t>物流基础设施，市政和产业园区基础设施，国家重大战略项目、保障性安居工程，以及新能源项目和新型基础设施项目建设</w:t>
      </w:r>
      <w:r>
        <w:rPr>
          <w:rFonts w:hint="eastAsia" w:ascii="仿宋_GB2312" w:hAnsi="仿宋_GB2312" w:eastAsia="仿宋_GB2312" w:cs="仿宋_GB2312"/>
          <w:i w:val="0"/>
          <w:iCs w:val="0"/>
          <w:caps w:val="0"/>
          <w:color w:val="333333"/>
          <w:spacing w:val="0"/>
          <w:sz w:val="32"/>
          <w:szCs w:val="32"/>
          <w:shd w:val="clear" w:fill="FFFFFF"/>
        </w:rPr>
        <w:t>。同时，财政部将积极研究适当扩大专项债券资金投向领域和扩大专项债券用作项目资本金的范围，更好发挥专项债券拉动有效投资的作用。</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Q4</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Q：在稳经济一揽子政策接续政策当中，有哪些稳外贸发展的政策措施？</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A：</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第一，推进外贸新业态、新模式发展</w:t>
      </w:r>
      <w:r>
        <w:rPr>
          <w:rFonts w:hint="eastAsia" w:ascii="仿宋_GB2312" w:hAnsi="仿宋_GB2312" w:eastAsia="仿宋_GB2312" w:cs="仿宋_GB2312"/>
          <w:i w:val="0"/>
          <w:iCs w:val="0"/>
          <w:caps w:val="0"/>
          <w:color w:val="333333"/>
          <w:spacing w:val="0"/>
          <w:sz w:val="32"/>
          <w:szCs w:val="32"/>
          <w:shd w:val="clear" w:fill="FFFFFF"/>
        </w:rPr>
        <w:t>。目前，跨境电商、市场采购贸易方式等外贸新业态新模式仍处在创新发展的窗口期。商务部将会同相关部门尽快出台</w:t>
      </w:r>
      <w:r>
        <w:rPr>
          <w:rFonts w:hint="eastAsia" w:ascii="仿宋_GB2312" w:hAnsi="仿宋_GB2312" w:eastAsia="仿宋_GB2312" w:cs="仿宋_GB2312"/>
          <w:b/>
          <w:bCs/>
          <w:i w:val="0"/>
          <w:iCs w:val="0"/>
          <w:caps w:val="0"/>
          <w:color w:val="333333"/>
          <w:spacing w:val="0"/>
          <w:sz w:val="32"/>
          <w:szCs w:val="32"/>
          <w:shd w:val="clear" w:fill="FFFFFF"/>
        </w:rPr>
        <w:t>支持跨境电商海外仓发展的政策</w:t>
      </w:r>
      <w:r>
        <w:rPr>
          <w:rFonts w:hint="eastAsia" w:ascii="仿宋_GB2312" w:hAnsi="仿宋_GB2312" w:eastAsia="仿宋_GB2312" w:cs="仿宋_GB2312"/>
          <w:i w:val="0"/>
          <w:iCs w:val="0"/>
          <w:caps w:val="0"/>
          <w:color w:val="333333"/>
          <w:spacing w:val="0"/>
          <w:sz w:val="32"/>
          <w:szCs w:val="32"/>
          <w:shd w:val="clear" w:fill="FFFFFF"/>
        </w:rPr>
        <w:t>，支持物流企业、跨境电商平台和大型跨境电商卖家等专业化主体建设海外仓。同时，尽快增设新一批跨境电商综试区和市场采购贸易方式试点。</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第二，支持新能源汽车等重点产品出口</w:t>
      </w:r>
      <w:r>
        <w:rPr>
          <w:rFonts w:hint="eastAsia" w:ascii="仿宋_GB2312" w:hAnsi="仿宋_GB2312" w:eastAsia="仿宋_GB2312" w:cs="仿宋_GB2312"/>
          <w:i w:val="0"/>
          <w:iCs w:val="0"/>
          <w:caps w:val="0"/>
          <w:color w:val="333333"/>
          <w:spacing w:val="0"/>
          <w:sz w:val="32"/>
          <w:szCs w:val="32"/>
          <w:shd w:val="clear" w:fill="FFFFFF"/>
        </w:rPr>
        <w:t>。近年来，我国汽车特别是新能源汽车产业蓬勃发展，国际竞争力明显提升。1-7月，新能源汽车出口同比增长超过</w:t>
      </w:r>
      <w:r>
        <w:rPr>
          <w:rFonts w:hint="eastAsia" w:ascii="仿宋_GB2312" w:hAnsi="仿宋_GB2312" w:eastAsia="仿宋_GB2312" w:cs="仿宋_GB2312"/>
          <w:b/>
          <w:bCs/>
          <w:i w:val="0"/>
          <w:iCs w:val="0"/>
          <w:caps w:val="0"/>
          <w:color w:val="333333"/>
          <w:spacing w:val="0"/>
          <w:sz w:val="32"/>
          <w:szCs w:val="32"/>
          <w:shd w:val="clear" w:fill="FFFFFF"/>
        </w:rPr>
        <w:t>90%</w:t>
      </w:r>
      <w:r>
        <w:rPr>
          <w:rFonts w:hint="eastAsia" w:ascii="仿宋_GB2312" w:hAnsi="仿宋_GB2312" w:eastAsia="仿宋_GB2312" w:cs="仿宋_GB2312"/>
          <w:i w:val="0"/>
          <w:iCs w:val="0"/>
          <w:caps w:val="0"/>
          <w:color w:val="333333"/>
          <w:spacing w:val="0"/>
          <w:sz w:val="32"/>
          <w:szCs w:val="32"/>
          <w:shd w:val="clear" w:fill="FFFFFF"/>
        </w:rPr>
        <w:t>，成为外贸一大亮点。商务部将继续会同相关部门支持新能源汽车企业加快建设海外营销和售后服务网络，加大品牌宣传推广力度。鼓励有条件的中资银行境外机构提供境外消费金融产品。研究拓宽出口运输渠道，通过中欧班列运输新能源汽车。</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第三，畅通外贸企业抓订单渠道</w:t>
      </w:r>
      <w:r>
        <w:rPr>
          <w:rFonts w:hint="eastAsia" w:ascii="仿宋_GB2312" w:hAnsi="仿宋_GB2312" w:eastAsia="仿宋_GB2312" w:cs="仿宋_GB2312"/>
          <w:i w:val="0"/>
          <w:iCs w:val="0"/>
          <w:caps w:val="0"/>
          <w:color w:val="333333"/>
          <w:spacing w:val="0"/>
          <w:sz w:val="32"/>
          <w:szCs w:val="32"/>
          <w:shd w:val="clear" w:fill="FFFFFF"/>
        </w:rPr>
        <w:t>。商务部将会同相关部门为外贸企业人员出境开展商务活动提供更多便利和支持。进一步发挥境外自办展会作用，鼓励贸促机构、会展企业以“</w:t>
      </w:r>
      <w:r>
        <w:rPr>
          <w:rFonts w:hint="eastAsia" w:ascii="仿宋_GB2312" w:hAnsi="仿宋_GB2312" w:eastAsia="仿宋_GB2312" w:cs="仿宋_GB2312"/>
          <w:b/>
          <w:bCs/>
          <w:i w:val="0"/>
          <w:iCs w:val="0"/>
          <w:caps w:val="0"/>
          <w:color w:val="333333"/>
          <w:spacing w:val="0"/>
          <w:sz w:val="32"/>
          <w:szCs w:val="32"/>
          <w:shd w:val="clear" w:fill="FFFFFF"/>
        </w:rPr>
        <w:t>境内线上对口谈、境外线下商品展</w:t>
      </w:r>
      <w:r>
        <w:rPr>
          <w:rFonts w:hint="eastAsia" w:ascii="仿宋_GB2312" w:hAnsi="仿宋_GB2312" w:eastAsia="仿宋_GB2312" w:cs="仿宋_GB2312"/>
          <w:i w:val="0"/>
          <w:iCs w:val="0"/>
          <w:caps w:val="0"/>
          <w:color w:val="333333"/>
          <w:spacing w:val="0"/>
          <w:sz w:val="32"/>
          <w:szCs w:val="32"/>
          <w:shd w:val="clear" w:fill="FFFFFF"/>
        </w:rPr>
        <w:t>”方式举办境外自办展会，推动提升办展规模。鼓励各地方结合实际出台务实举措，积极支持中小微外贸企业参展。</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第四，增强外贸企业汇率风险管理能力</w:t>
      </w:r>
      <w:r>
        <w:rPr>
          <w:rFonts w:hint="eastAsia" w:ascii="仿宋_GB2312" w:hAnsi="仿宋_GB2312" w:eastAsia="仿宋_GB2312" w:cs="仿宋_GB2312"/>
          <w:i w:val="0"/>
          <w:iCs w:val="0"/>
          <w:caps w:val="0"/>
          <w:color w:val="333333"/>
          <w:spacing w:val="0"/>
          <w:sz w:val="32"/>
          <w:szCs w:val="32"/>
          <w:shd w:val="clear" w:fill="FFFFFF"/>
        </w:rPr>
        <w:t>。当前外部环境更趋复杂严峻，影响人民币汇率的风险因素增多。商务部将会同人民银行、外汇局等部门，持续引导外贸企业树立汇率风险中性意识，鼓励银行机构创新优化产品，为更多中小微外贸企业提供</w:t>
      </w:r>
      <w:r>
        <w:rPr>
          <w:rFonts w:hint="eastAsia" w:ascii="仿宋_GB2312" w:hAnsi="仿宋_GB2312" w:eastAsia="仿宋_GB2312" w:cs="仿宋_GB2312"/>
          <w:b/>
          <w:bCs/>
          <w:i w:val="0"/>
          <w:iCs w:val="0"/>
          <w:caps w:val="0"/>
          <w:color w:val="333333"/>
          <w:spacing w:val="0"/>
          <w:sz w:val="32"/>
          <w:szCs w:val="32"/>
          <w:shd w:val="clear" w:fill="FFFFFF"/>
        </w:rPr>
        <w:t>汇率避险和跨境人民币结算服务</w:t>
      </w:r>
      <w:r>
        <w:rPr>
          <w:rFonts w:hint="eastAsia" w:ascii="仿宋_GB2312" w:hAnsi="仿宋_GB2312" w:eastAsia="仿宋_GB2312" w:cs="仿宋_GB2312"/>
          <w:i w:val="0"/>
          <w:iCs w:val="0"/>
          <w:caps w:val="0"/>
          <w:color w:val="333333"/>
          <w:spacing w:val="0"/>
          <w:sz w:val="32"/>
          <w:szCs w:val="32"/>
          <w:shd w:val="clear" w:fill="FFFFFF"/>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Q5</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Q：在推动扩大民间投资方面将采取哪些举措？</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A：</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i w:val="0"/>
          <w:iCs w:val="0"/>
          <w:caps w:val="0"/>
          <w:color w:val="333333"/>
          <w:spacing w:val="0"/>
          <w:sz w:val="32"/>
          <w:szCs w:val="32"/>
          <w:shd w:val="clear" w:fill="FFFFFF"/>
        </w:rPr>
        <w:t>一是</w:t>
      </w:r>
      <w:r>
        <w:rPr>
          <w:rFonts w:hint="eastAsia" w:ascii="仿宋_GB2312" w:hAnsi="仿宋_GB2312" w:eastAsia="仿宋_GB2312" w:cs="仿宋_GB2312"/>
          <w:b/>
          <w:bCs/>
          <w:i w:val="0"/>
          <w:iCs w:val="0"/>
          <w:caps w:val="0"/>
          <w:color w:val="333333"/>
          <w:spacing w:val="0"/>
          <w:sz w:val="32"/>
          <w:szCs w:val="32"/>
          <w:shd w:val="clear" w:fill="FFFFFF"/>
        </w:rPr>
        <w:t>发挥重大项目的牵引和政府投资的撬动作用</w:t>
      </w:r>
      <w:r>
        <w:rPr>
          <w:rFonts w:hint="eastAsia" w:ascii="仿宋_GB2312" w:hAnsi="仿宋_GB2312" w:eastAsia="仿宋_GB2312" w:cs="仿宋_GB2312"/>
          <w:i w:val="0"/>
          <w:iCs w:val="0"/>
          <w:caps w:val="0"/>
          <w:color w:val="333333"/>
          <w:spacing w:val="0"/>
          <w:sz w:val="32"/>
          <w:szCs w:val="32"/>
          <w:shd w:val="clear" w:fill="FFFFFF"/>
        </w:rPr>
        <w:t>。要根据“十四五”规划里提到的102项重大工程，还有国家重大战略等明确的重点建设任务，选择</w:t>
      </w:r>
      <w:r>
        <w:rPr>
          <w:rFonts w:hint="eastAsia" w:ascii="仿宋_GB2312" w:hAnsi="仿宋_GB2312" w:eastAsia="仿宋_GB2312" w:cs="仿宋_GB2312"/>
          <w:b/>
          <w:bCs/>
          <w:i w:val="0"/>
          <w:iCs w:val="0"/>
          <w:caps w:val="0"/>
          <w:color w:val="333333"/>
          <w:spacing w:val="0"/>
          <w:sz w:val="32"/>
          <w:szCs w:val="32"/>
          <w:shd w:val="clear" w:fill="FFFFFF"/>
        </w:rPr>
        <w:t>具备一定收益水平、条件相对成熟的项目</w:t>
      </w:r>
      <w:r>
        <w:rPr>
          <w:rFonts w:hint="eastAsia" w:ascii="仿宋_GB2312" w:hAnsi="仿宋_GB2312" w:eastAsia="仿宋_GB2312" w:cs="仿宋_GB2312"/>
          <w:i w:val="0"/>
          <w:iCs w:val="0"/>
          <w:caps w:val="0"/>
          <w:color w:val="333333"/>
          <w:spacing w:val="0"/>
          <w:sz w:val="32"/>
          <w:szCs w:val="32"/>
          <w:shd w:val="clear" w:fill="FFFFFF"/>
        </w:rPr>
        <w:t>，以多种方式吸引民间资本积极参与。</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i w:val="0"/>
          <w:iCs w:val="0"/>
          <w:caps w:val="0"/>
          <w:color w:val="333333"/>
          <w:spacing w:val="0"/>
          <w:sz w:val="32"/>
          <w:szCs w:val="32"/>
          <w:shd w:val="clear" w:fill="FFFFFF"/>
        </w:rPr>
        <w:t>二是</w:t>
      </w:r>
      <w:r>
        <w:rPr>
          <w:rFonts w:hint="eastAsia" w:ascii="仿宋_GB2312" w:hAnsi="仿宋_GB2312" w:eastAsia="仿宋_GB2312" w:cs="仿宋_GB2312"/>
          <w:b/>
          <w:bCs/>
          <w:i w:val="0"/>
          <w:iCs w:val="0"/>
          <w:caps w:val="0"/>
          <w:color w:val="333333"/>
          <w:spacing w:val="0"/>
          <w:sz w:val="32"/>
          <w:szCs w:val="32"/>
          <w:shd w:val="clear" w:fill="FFFFFF"/>
        </w:rPr>
        <w:t>推动民间投资项目加快实施</w:t>
      </w:r>
      <w:r>
        <w:rPr>
          <w:rFonts w:hint="eastAsia" w:ascii="仿宋_GB2312" w:hAnsi="仿宋_GB2312" w:eastAsia="仿宋_GB2312" w:cs="仿宋_GB2312"/>
          <w:i w:val="0"/>
          <w:iCs w:val="0"/>
          <w:caps w:val="0"/>
          <w:color w:val="333333"/>
          <w:spacing w:val="0"/>
          <w:sz w:val="32"/>
          <w:szCs w:val="32"/>
          <w:shd w:val="clear" w:fill="FFFFFF"/>
        </w:rPr>
        <w:t>。对于推动经济社会发展、促进产业转型、加快技术进步这些具有较强带动作用、投资规模较大的民间投资项目，要积极纳入各地区的</w:t>
      </w:r>
      <w:r>
        <w:rPr>
          <w:rFonts w:hint="eastAsia" w:ascii="仿宋_GB2312" w:hAnsi="仿宋_GB2312" w:eastAsia="仿宋_GB2312" w:cs="仿宋_GB2312"/>
          <w:b/>
          <w:bCs/>
          <w:i w:val="0"/>
          <w:iCs w:val="0"/>
          <w:caps w:val="0"/>
          <w:color w:val="333333"/>
          <w:spacing w:val="0"/>
          <w:sz w:val="32"/>
          <w:szCs w:val="32"/>
          <w:shd w:val="clear" w:fill="FFFFFF"/>
        </w:rPr>
        <w:t>重点投资项目库</w:t>
      </w:r>
      <w:r>
        <w:rPr>
          <w:rFonts w:hint="eastAsia" w:ascii="仿宋_GB2312" w:hAnsi="仿宋_GB2312" w:eastAsia="仿宋_GB2312" w:cs="仿宋_GB2312"/>
          <w:i w:val="0"/>
          <w:iCs w:val="0"/>
          <w:caps w:val="0"/>
          <w:color w:val="333333"/>
          <w:spacing w:val="0"/>
          <w:sz w:val="32"/>
          <w:szCs w:val="32"/>
          <w:shd w:val="clear" w:fill="FFFFFF"/>
        </w:rPr>
        <w:t>，加强用地、用海、用能、用水、资金等要素的保障力度。</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i w:val="0"/>
          <w:iCs w:val="0"/>
          <w:caps w:val="0"/>
          <w:color w:val="333333"/>
          <w:spacing w:val="0"/>
          <w:sz w:val="32"/>
          <w:szCs w:val="32"/>
          <w:shd w:val="clear" w:fill="FFFFFF"/>
        </w:rPr>
        <w:t>三是</w:t>
      </w:r>
      <w:r>
        <w:rPr>
          <w:rFonts w:hint="eastAsia" w:ascii="仿宋_GB2312" w:hAnsi="仿宋_GB2312" w:eastAsia="仿宋_GB2312" w:cs="仿宋_GB2312"/>
          <w:b/>
          <w:bCs/>
          <w:i w:val="0"/>
          <w:iCs w:val="0"/>
          <w:caps w:val="0"/>
          <w:color w:val="333333"/>
          <w:spacing w:val="0"/>
          <w:sz w:val="32"/>
          <w:szCs w:val="32"/>
          <w:shd w:val="clear" w:fill="FFFFFF"/>
        </w:rPr>
        <w:t>鼓励民间投资积极参与盘活存量资产</w:t>
      </w:r>
      <w:r>
        <w:rPr>
          <w:rFonts w:hint="eastAsia" w:ascii="仿宋_GB2312" w:hAnsi="仿宋_GB2312" w:eastAsia="仿宋_GB2312" w:cs="仿宋_GB2312"/>
          <w:i w:val="0"/>
          <w:iCs w:val="0"/>
          <w:caps w:val="0"/>
          <w:color w:val="333333"/>
          <w:spacing w:val="0"/>
          <w:sz w:val="32"/>
          <w:szCs w:val="32"/>
          <w:shd w:val="clear" w:fill="FFFFFF"/>
        </w:rPr>
        <w:t>。要鼓励符合条件的民间投资项目发行</w:t>
      </w:r>
      <w:r>
        <w:rPr>
          <w:rFonts w:hint="eastAsia" w:ascii="仿宋_GB2312" w:hAnsi="仿宋_GB2312" w:eastAsia="仿宋_GB2312" w:cs="仿宋_GB2312"/>
          <w:b/>
          <w:bCs/>
          <w:i w:val="0"/>
          <w:iCs w:val="0"/>
          <w:caps w:val="0"/>
          <w:color w:val="333333"/>
          <w:spacing w:val="0"/>
          <w:sz w:val="32"/>
          <w:szCs w:val="32"/>
          <w:shd w:val="clear" w:fill="FFFFFF"/>
        </w:rPr>
        <w:t>基础设施领域不动产投资信托基金（REITs）</w:t>
      </w:r>
      <w:r>
        <w:rPr>
          <w:rFonts w:hint="eastAsia" w:ascii="仿宋_GB2312" w:hAnsi="仿宋_GB2312" w:eastAsia="仿宋_GB2312" w:cs="仿宋_GB2312"/>
          <w:i w:val="0"/>
          <w:iCs w:val="0"/>
          <w:caps w:val="0"/>
          <w:color w:val="333333"/>
          <w:spacing w:val="0"/>
          <w:sz w:val="32"/>
          <w:szCs w:val="32"/>
          <w:shd w:val="clear" w:fill="FFFFFF"/>
        </w:rPr>
        <w:t>。支持民间资本通过PPP等方式，参与盘活国有存量资产，鼓励民营企业通过产权交易、并购重组等方式，盘活自身资产，鼓励回收资金用于新的项目建设。</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i w:val="0"/>
          <w:iCs w:val="0"/>
          <w:caps w:val="0"/>
          <w:color w:val="333333"/>
          <w:spacing w:val="0"/>
          <w:sz w:val="32"/>
          <w:szCs w:val="32"/>
          <w:shd w:val="clear" w:fill="FFFFFF"/>
        </w:rPr>
        <w:t>四是</w:t>
      </w:r>
      <w:r>
        <w:rPr>
          <w:rFonts w:hint="eastAsia" w:ascii="仿宋_GB2312" w:hAnsi="仿宋_GB2312" w:eastAsia="仿宋_GB2312" w:cs="仿宋_GB2312"/>
          <w:b/>
          <w:bCs/>
          <w:i w:val="0"/>
          <w:iCs w:val="0"/>
          <w:caps w:val="0"/>
          <w:color w:val="333333"/>
          <w:spacing w:val="0"/>
          <w:sz w:val="32"/>
          <w:szCs w:val="32"/>
          <w:shd w:val="clear" w:fill="FFFFFF"/>
        </w:rPr>
        <w:t>加强对民间投资的融资支持</w:t>
      </w:r>
      <w:r>
        <w:rPr>
          <w:rFonts w:hint="eastAsia" w:ascii="仿宋_GB2312" w:hAnsi="仿宋_GB2312" w:eastAsia="仿宋_GB2312" w:cs="仿宋_GB2312"/>
          <w:i w:val="0"/>
          <w:iCs w:val="0"/>
          <w:caps w:val="0"/>
          <w:color w:val="333333"/>
          <w:spacing w:val="0"/>
          <w:sz w:val="32"/>
          <w:szCs w:val="32"/>
          <w:shd w:val="clear" w:fill="FFFFFF"/>
        </w:rPr>
        <w:t>。建立和完善</w:t>
      </w:r>
      <w:r>
        <w:rPr>
          <w:rFonts w:hint="eastAsia" w:ascii="仿宋_GB2312" w:hAnsi="仿宋_GB2312" w:eastAsia="仿宋_GB2312" w:cs="仿宋_GB2312"/>
          <w:b/>
          <w:bCs/>
          <w:i w:val="0"/>
          <w:iCs w:val="0"/>
          <w:caps w:val="0"/>
          <w:color w:val="333333"/>
          <w:spacing w:val="0"/>
          <w:sz w:val="32"/>
          <w:szCs w:val="32"/>
          <w:shd w:val="clear" w:fill="FFFFFF"/>
        </w:rPr>
        <w:t>社会资本投融资合作对接机制</w:t>
      </w:r>
      <w:r>
        <w:rPr>
          <w:rFonts w:hint="eastAsia" w:ascii="仿宋_GB2312" w:hAnsi="仿宋_GB2312" w:eastAsia="仿宋_GB2312" w:cs="仿宋_GB2312"/>
          <w:i w:val="0"/>
          <w:iCs w:val="0"/>
          <w:caps w:val="0"/>
          <w:color w:val="333333"/>
          <w:spacing w:val="0"/>
          <w:sz w:val="32"/>
          <w:szCs w:val="32"/>
          <w:shd w:val="clear" w:fill="FFFFFF"/>
        </w:rPr>
        <w:t>，通过项目对接会等方式，搭建有利于民间投资项目与金融机构沟通衔接的平台。</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i w:val="0"/>
          <w:iCs w:val="0"/>
          <w:caps w:val="0"/>
          <w:color w:val="333333"/>
          <w:spacing w:val="0"/>
          <w:sz w:val="32"/>
          <w:szCs w:val="32"/>
          <w:shd w:val="clear" w:fill="FFFFFF"/>
        </w:rPr>
        <w:t>五是</w:t>
      </w:r>
      <w:r>
        <w:rPr>
          <w:rFonts w:hint="eastAsia" w:ascii="仿宋_GB2312" w:hAnsi="仿宋_GB2312" w:eastAsia="仿宋_GB2312" w:cs="仿宋_GB2312"/>
          <w:b/>
          <w:bCs/>
          <w:i w:val="0"/>
          <w:iCs w:val="0"/>
          <w:caps w:val="0"/>
          <w:color w:val="333333"/>
          <w:spacing w:val="0"/>
          <w:sz w:val="32"/>
          <w:szCs w:val="32"/>
          <w:shd w:val="clear" w:fill="FFFFFF"/>
        </w:rPr>
        <w:t>促进民间投资规范健康发展</w:t>
      </w:r>
      <w:r>
        <w:rPr>
          <w:rFonts w:hint="eastAsia" w:ascii="仿宋_GB2312" w:hAnsi="仿宋_GB2312" w:eastAsia="仿宋_GB2312" w:cs="仿宋_GB2312"/>
          <w:i w:val="0"/>
          <w:iCs w:val="0"/>
          <w:caps w:val="0"/>
          <w:color w:val="333333"/>
          <w:spacing w:val="0"/>
          <w:sz w:val="32"/>
          <w:szCs w:val="32"/>
          <w:shd w:val="clear" w:fill="FFFFFF"/>
        </w:rPr>
        <w:t>。引导和帮助民营企业发现新的增长点，不断提高投资的科学性和精准性，鼓励民营企业聚焦实业、做精主业，提升核心竞争力。</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i w:val="0"/>
          <w:iCs w:val="0"/>
          <w:caps w:val="0"/>
          <w:color w:val="333333"/>
          <w:spacing w:val="0"/>
          <w:sz w:val="32"/>
          <w:szCs w:val="32"/>
          <w:shd w:val="clear" w:fill="FFFFFF"/>
        </w:rPr>
        <w:t>六是</w:t>
      </w:r>
      <w:r>
        <w:rPr>
          <w:rFonts w:hint="eastAsia" w:ascii="仿宋_GB2312" w:hAnsi="仿宋_GB2312" w:eastAsia="仿宋_GB2312" w:cs="仿宋_GB2312"/>
          <w:b/>
          <w:bCs/>
          <w:i w:val="0"/>
          <w:iCs w:val="0"/>
          <w:caps w:val="0"/>
          <w:color w:val="333333"/>
          <w:spacing w:val="0"/>
          <w:sz w:val="32"/>
          <w:szCs w:val="32"/>
          <w:shd w:val="clear" w:fill="FFFFFF"/>
        </w:rPr>
        <w:t>持续优化民间投资环境</w:t>
      </w:r>
      <w:r>
        <w:rPr>
          <w:rFonts w:hint="eastAsia" w:ascii="仿宋_GB2312" w:hAnsi="仿宋_GB2312" w:eastAsia="仿宋_GB2312" w:cs="仿宋_GB2312"/>
          <w:i w:val="0"/>
          <w:iCs w:val="0"/>
          <w:caps w:val="0"/>
          <w:color w:val="333333"/>
          <w:spacing w:val="0"/>
          <w:sz w:val="32"/>
          <w:szCs w:val="32"/>
          <w:shd w:val="clear" w:fill="FFFFFF"/>
        </w:rPr>
        <w:t>。要落实鼓励民营经济发展的各项政策措施，紧紧围绕深化“放管服”改革，破除制约民间投资的“玻璃门”“弹簧门”“旋转门”，进一步完善有利于民间投资发展的政策环境，促进民间投资高质量发展。</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Q6</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Q：在稳外资方面，接下来有哪些举措？</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A：</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一是加紧推出相关配套措施</w:t>
      </w:r>
      <w:r>
        <w:rPr>
          <w:rFonts w:hint="eastAsia" w:ascii="仿宋_GB2312" w:hAnsi="仿宋_GB2312" w:eastAsia="仿宋_GB2312" w:cs="仿宋_GB2312"/>
          <w:i w:val="0"/>
          <w:iCs w:val="0"/>
          <w:caps w:val="0"/>
          <w:color w:val="333333"/>
          <w:spacing w:val="0"/>
          <w:sz w:val="32"/>
          <w:szCs w:val="32"/>
          <w:shd w:val="clear" w:fill="FFFFFF"/>
        </w:rPr>
        <w:t>。商务部将会同相关部门，共同研究出台促进制造业吸引外资的配套文件，将以制造业为重点，坚持扩增量、稳存量、提质量并重，进一步优化外商投资环境，优化外资促进和服务，积极引导外商投资方向，促进外资更好的发展。积极推出促进外商设立研发中心的政策措施，在引进人才、便利研发、支持创新、加强知识产权保护等方面，加大政策支持力度，引导外商促进科技创新。</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二是推动一批标志性外资项目落地</w:t>
      </w:r>
      <w:r>
        <w:rPr>
          <w:rFonts w:hint="eastAsia" w:ascii="仿宋_GB2312" w:hAnsi="仿宋_GB2312" w:eastAsia="仿宋_GB2312" w:cs="仿宋_GB2312"/>
          <w:i w:val="0"/>
          <w:iCs w:val="0"/>
          <w:caps w:val="0"/>
          <w:color w:val="333333"/>
          <w:spacing w:val="0"/>
          <w:sz w:val="32"/>
          <w:szCs w:val="32"/>
          <w:shd w:val="clear" w:fill="FFFFFF"/>
        </w:rPr>
        <w:t>。商务部将发挥外贸外资协调机制重点外资项目工作专班作用，会同各地区、各部门全面摸排重点外资项目，选取其中世界500强跨国公司投资的、规模较大的先进制造领域外资项目，加强“全生命周期”服务和全方位保障，及时协调解决各方面问题困难，推动项目尽早落地、建设和运营。</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三是发挥好开放平台引资带动作用</w:t>
      </w:r>
      <w:r>
        <w:rPr>
          <w:rFonts w:hint="eastAsia" w:ascii="仿宋_GB2312" w:hAnsi="仿宋_GB2312" w:eastAsia="仿宋_GB2312" w:cs="仿宋_GB2312"/>
          <w:i w:val="0"/>
          <w:iCs w:val="0"/>
          <w:caps w:val="0"/>
          <w:color w:val="333333"/>
          <w:spacing w:val="0"/>
          <w:sz w:val="32"/>
          <w:szCs w:val="32"/>
          <w:shd w:val="clear" w:fill="FFFFFF"/>
        </w:rPr>
        <w:t>。落实好新版国家级经开区综合发展水平考核评价办法，突出开放发展和高质量发展导向，在强化倒逼机制基础上，对考核评价排名靠前的国家级经开区，商务部将会同有关部门研究出台一批激励措施，鼓励这些优秀的国家级经开区更好发展开放型经济，特别是在制造业引资中发挥更大作用。</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Q7</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Q：为支持抗旱救灾和秋粮防灾稳产等，中央财政下达的100亿元资金进展如何？</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b/>
          <w:bCs/>
          <w:i w:val="0"/>
          <w:iCs w:val="0"/>
          <w:caps w:val="0"/>
          <w:color w:val="333333"/>
          <w:spacing w:val="0"/>
          <w:sz w:val="32"/>
          <w:szCs w:val="32"/>
          <w:shd w:val="clear" w:fill="FFFFFF"/>
        </w:rPr>
        <w:t>A：</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42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i w:val="0"/>
          <w:iCs w:val="0"/>
          <w:caps w:val="0"/>
          <w:color w:val="333333"/>
          <w:spacing w:val="0"/>
          <w:sz w:val="32"/>
          <w:szCs w:val="32"/>
          <w:shd w:val="clear" w:fill="FFFFFF"/>
        </w:rPr>
        <w:t>这100亿资金由两个部分组成。一部分，是</w:t>
      </w:r>
      <w:r>
        <w:rPr>
          <w:rFonts w:hint="eastAsia" w:ascii="仿宋_GB2312" w:hAnsi="仿宋_GB2312" w:eastAsia="仿宋_GB2312" w:cs="仿宋_GB2312"/>
          <w:b/>
          <w:bCs/>
          <w:i w:val="0"/>
          <w:iCs w:val="0"/>
          <w:caps w:val="0"/>
          <w:color w:val="333333"/>
          <w:spacing w:val="0"/>
          <w:sz w:val="32"/>
          <w:szCs w:val="32"/>
          <w:shd w:val="clear" w:fill="FFFFFF"/>
        </w:rPr>
        <w:t>水利抗旱救灾资金65亿元</w:t>
      </w:r>
      <w:r>
        <w:rPr>
          <w:rFonts w:hint="eastAsia" w:ascii="仿宋_GB2312" w:hAnsi="仿宋_GB2312" w:eastAsia="仿宋_GB2312" w:cs="仿宋_GB2312"/>
          <w:i w:val="0"/>
          <w:iCs w:val="0"/>
          <w:caps w:val="0"/>
          <w:color w:val="333333"/>
          <w:spacing w:val="0"/>
          <w:sz w:val="32"/>
          <w:szCs w:val="32"/>
          <w:shd w:val="clear" w:fill="FFFFFF"/>
        </w:rPr>
        <w:t>，主要用于支持受灾地区开展水利调水、增打机井，保障群众饮水及农业灌溉用水等。另一部分，是</w:t>
      </w:r>
      <w:r>
        <w:rPr>
          <w:rFonts w:hint="eastAsia" w:ascii="仿宋_GB2312" w:hAnsi="仿宋_GB2312" w:eastAsia="仿宋_GB2312" w:cs="仿宋_GB2312"/>
          <w:b/>
          <w:bCs/>
          <w:i w:val="0"/>
          <w:iCs w:val="0"/>
          <w:caps w:val="0"/>
          <w:color w:val="333333"/>
          <w:spacing w:val="0"/>
          <w:sz w:val="32"/>
          <w:szCs w:val="32"/>
          <w:shd w:val="clear" w:fill="FFFFFF"/>
        </w:rPr>
        <w:t>农业抗旱保秋粮生产资金35亿元</w:t>
      </w:r>
      <w:r>
        <w:rPr>
          <w:rFonts w:hint="eastAsia" w:ascii="仿宋_GB2312" w:hAnsi="仿宋_GB2312" w:eastAsia="仿宋_GB2312" w:cs="仿宋_GB2312"/>
          <w:i w:val="0"/>
          <w:iCs w:val="0"/>
          <w:caps w:val="0"/>
          <w:color w:val="333333"/>
          <w:spacing w:val="0"/>
          <w:sz w:val="32"/>
          <w:szCs w:val="32"/>
          <w:shd w:val="clear" w:fill="FFFFFF"/>
        </w:rPr>
        <w:t>，主要用于支持受灾农户购买燃油、农药、种子等农业生产恢复所需的物资；同时，对能够提高农作物抗旱性的混合药剂给予补助，防范旱情发展蔓延，保障秋粮稳产丰收。8月26日，</w:t>
      </w:r>
      <w:r>
        <w:rPr>
          <w:rFonts w:hint="eastAsia" w:ascii="仿宋_GB2312" w:hAnsi="仿宋_GB2312" w:eastAsia="仿宋_GB2312" w:cs="仿宋_GB2312"/>
          <w:b/>
          <w:bCs/>
          <w:i w:val="0"/>
          <w:iCs w:val="0"/>
          <w:caps w:val="0"/>
          <w:color w:val="333333"/>
          <w:spacing w:val="0"/>
          <w:sz w:val="32"/>
          <w:szCs w:val="32"/>
          <w:shd w:val="clear" w:fill="FFFFFF"/>
        </w:rPr>
        <w:t>100亿元资金已经全部下达到各受灾的省份</w:t>
      </w:r>
      <w:r>
        <w:rPr>
          <w:rFonts w:hint="eastAsia" w:ascii="仿宋_GB2312" w:hAnsi="仿宋_GB2312" w:eastAsia="仿宋_GB2312" w:cs="仿宋_GB2312"/>
          <w:i w:val="0"/>
          <w:iCs w:val="0"/>
          <w:caps w:val="0"/>
          <w:color w:val="333333"/>
          <w:spacing w:val="0"/>
          <w:sz w:val="32"/>
          <w:szCs w:val="32"/>
          <w:shd w:val="clear" w:fill="FFFFFF"/>
        </w:rPr>
        <w:t>。</w:t>
      </w:r>
    </w:p>
    <w:p>
      <w:pPr>
        <w:rPr>
          <w:rFonts w:hint="eastAsia" w:ascii="仿宋_GB2312" w:hAnsi="仿宋_GB2312" w:eastAsia="仿宋_GB2312" w:cs="仿宋_GB2312"/>
          <w:sz w:val="32"/>
          <w:szCs w:val="32"/>
        </w:rPr>
      </w:pPr>
    </w:p>
    <w:p>
      <w:pPr>
        <w:pStyle w:val="2"/>
        <w:keepNext w:val="0"/>
        <w:keepLines w:val="0"/>
        <w:pageBreakBefore w:val="0"/>
        <w:widowControl w:val="0"/>
        <w:kinsoku/>
        <w:wordWrap/>
        <w:overflowPunct/>
        <w:topLinePunct w:val="0"/>
        <w:autoSpaceDE/>
        <w:autoSpaceDN/>
        <w:bidi w:val="0"/>
        <w:adjustRightInd/>
        <w:snapToGrid/>
        <w:ind w:firstLine="0" w:firstLineChars="0"/>
        <w:jc w:val="left"/>
        <w:textAlignment w:val="auto"/>
        <w:rPr>
          <w:rFonts w:hint="eastAsia"/>
          <w:sz w:val="32"/>
          <w:szCs w:val="32"/>
          <w:lang w:val="en-US" w:eastAsia="zh-CN"/>
        </w:rPr>
      </w:pPr>
      <w:r>
        <w:rPr>
          <w:rFonts w:hint="eastAsia"/>
          <w:sz w:val="32"/>
          <w:szCs w:val="32"/>
          <w:lang w:eastAsia="zh-CN"/>
        </w:rPr>
        <w:t>附</w:t>
      </w:r>
      <w:r>
        <w:rPr>
          <w:rFonts w:hint="eastAsia"/>
          <w:sz w:val="32"/>
          <w:szCs w:val="32"/>
          <w:lang w:val="en-US" w:eastAsia="zh-CN"/>
        </w:rPr>
        <w:t xml:space="preserve"> </w:t>
      </w:r>
      <w:r>
        <w:rPr>
          <w:rFonts w:hint="eastAsia"/>
          <w:sz w:val="32"/>
          <w:szCs w:val="32"/>
          <w:lang w:eastAsia="zh-CN"/>
        </w:rPr>
        <w:t>原文网址：</w:t>
      </w:r>
      <w:r>
        <w:rPr>
          <w:rFonts w:hint="eastAsia"/>
          <w:sz w:val="32"/>
          <w:szCs w:val="32"/>
          <w:lang w:val="en-US" w:eastAsia="zh-CN"/>
        </w:rPr>
        <w:fldChar w:fldCharType="begin"/>
      </w:r>
      <w:r>
        <w:rPr>
          <w:rFonts w:hint="eastAsia"/>
          <w:sz w:val="32"/>
          <w:szCs w:val="32"/>
          <w:lang w:val="en-US" w:eastAsia="zh-CN"/>
        </w:rPr>
        <w:instrText xml:space="preserve"> HYPERLINK "http://www.gov.cn/fuwu/2022-09/05/content_5708389.htm" </w:instrText>
      </w:r>
      <w:r>
        <w:rPr>
          <w:rFonts w:hint="eastAsia"/>
          <w:sz w:val="32"/>
          <w:szCs w:val="32"/>
          <w:lang w:val="en-US" w:eastAsia="zh-CN"/>
        </w:rPr>
        <w:fldChar w:fldCharType="separate"/>
      </w:r>
      <w:r>
        <w:rPr>
          <w:rStyle w:val="8"/>
          <w:rFonts w:hint="eastAsia"/>
          <w:sz w:val="32"/>
          <w:szCs w:val="32"/>
          <w:lang w:val="en-US" w:eastAsia="zh-CN"/>
        </w:rPr>
        <w:t>http://www.gov.cn/fuwu/2022-09/05/content_5708389.htm</w:t>
      </w:r>
      <w:r>
        <w:rPr>
          <w:rFonts w:hint="eastAsia"/>
          <w:sz w:val="32"/>
          <w:szCs w:val="32"/>
          <w:lang w:val="en-US" w:eastAsia="zh-CN"/>
        </w:rPr>
        <w:fldChar w:fldCharType="end"/>
      </w:r>
    </w:p>
    <w:p>
      <w:pPr>
        <w:pStyle w:val="2"/>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sz w:val="32"/>
          <w:szCs w:val="32"/>
          <w:lang w:val="en-US" w:eastAsia="zh-CN"/>
        </w:rPr>
      </w:pPr>
    </w:p>
    <w:p>
      <w:pPr>
        <w:pStyle w:val="2"/>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sz w:val="32"/>
          <w:szCs w:val="32"/>
          <w:lang w:val="en-US" w:eastAsia="zh-CN"/>
        </w:rPr>
      </w:pPr>
      <w:r>
        <w:rPr>
          <w:rFonts w:hint="eastAsia"/>
          <w:sz w:val="32"/>
          <w:szCs w:val="32"/>
          <w:lang w:val="en-US" w:eastAsia="zh-CN"/>
        </w:rPr>
        <w:t>手机扫描二维码进入网页</w:t>
      </w:r>
      <w:bookmarkStart w:id="0" w:name="_GoBack"/>
      <w:bookmarkEnd w:id="0"/>
    </w:p>
    <w:p>
      <w:pPr>
        <w:pStyle w:val="2"/>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sz w:val="32"/>
          <w:szCs w:val="32"/>
          <w:lang w:val="en-US" w:eastAsia="zh-CN"/>
        </w:rPr>
      </w:pPr>
      <w:r>
        <w:rPr>
          <w:rFonts w:hint="default"/>
          <w:sz w:val="32"/>
          <w:szCs w:val="32"/>
          <w:lang w:val="en-US" w:eastAsia="zh-CN"/>
        </w:rPr>
        <w:drawing>
          <wp:anchor distT="0" distB="0" distL="114300" distR="114300" simplePos="0" relativeHeight="251659264" behindDoc="0" locked="0" layoutInCell="1" allowOverlap="1">
            <wp:simplePos x="0" y="0"/>
            <wp:positionH relativeFrom="column">
              <wp:posOffset>1978660</wp:posOffset>
            </wp:positionH>
            <wp:positionV relativeFrom="paragraph">
              <wp:posOffset>72390</wp:posOffset>
            </wp:positionV>
            <wp:extent cx="1381125" cy="1381125"/>
            <wp:effectExtent l="0" t="0" r="9525" b="9525"/>
            <wp:wrapTopAndBottom/>
            <wp:docPr id="2"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6"/>
                    <pic:cNvPicPr>
                      <a:picLocks noChangeAspect="1"/>
                    </pic:cNvPicPr>
                  </pic:nvPicPr>
                  <pic:blipFill>
                    <a:blip r:embed="rId4"/>
                    <a:stretch>
                      <a:fillRect/>
                    </a:stretch>
                  </pic:blipFill>
                  <pic:spPr>
                    <a:xfrm>
                      <a:off x="0" y="0"/>
                      <a:ext cx="1381125" cy="1381125"/>
                    </a:xfrm>
                    <a:prstGeom prst="rect">
                      <a:avLst/>
                    </a:prstGeom>
                    <a:noFill/>
                    <a:ln w="9525">
                      <a:noFill/>
                    </a:ln>
                  </pic:spPr>
                </pic:pic>
              </a:graphicData>
            </a:graphic>
          </wp:anchor>
        </w:drawing>
      </w:r>
    </w:p>
    <w:p>
      <w:pPr>
        <w:pStyle w:val="2"/>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sz w:val="32"/>
          <w:szCs w:val="32"/>
          <w:lang w:val="en-US" w:eastAsia="zh-CN"/>
        </w:rPr>
      </w:pPr>
    </w:p>
    <w:p>
      <w:pPr>
        <w:pStyle w:val="2"/>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sz w:val="32"/>
          <w:szCs w:val="32"/>
          <w:lang w:val="en-US" w:eastAsia="zh-CN"/>
        </w:rPr>
      </w:pPr>
    </w:p>
    <w:p>
      <w:pPr>
        <w:pStyle w:val="2"/>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sz w:val="32"/>
          <w:szCs w:val="32"/>
          <w:lang w:val="en-US" w:eastAsia="zh-CN"/>
        </w:rPr>
      </w:pPr>
    </w:p>
    <w:p>
      <w:pPr>
        <w:pStyle w:val="2"/>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sz w:val="32"/>
          <w:szCs w:val="32"/>
          <w:lang w:val="en-US" w:eastAsia="zh-CN"/>
        </w:rPr>
      </w:pPr>
    </w:p>
    <w:p>
      <w:pPr>
        <w:pStyle w:val="2"/>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default"/>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A2NzE4MzkzNGE1MWUxYzgyOTM4NDhiMmY0MjI1YWQifQ=="/>
  </w:docVars>
  <w:rsids>
    <w:rsidRoot w:val="00000000"/>
    <w:rsid w:val="02165B04"/>
    <w:rsid w:val="0AE84FE4"/>
    <w:rsid w:val="11C30D04"/>
    <w:rsid w:val="11F34201"/>
    <w:rsid w:val="1F607240"/>
    <w:rsid w:val="21E439B7"/>
    <w:rsid w:val="2E6E29E5"/>
    <w:rsid w:val="55DF4A13"/>
    <w:rsid w:val="700C75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First Indent"/>
    <w:basedOn w:val="3"/>
    <w:qFormat/>
    <w:uiPriority w:val="0"/>
    <w:pPr>
      <w:spacing w:line="620" w:lineRule="exact"/>
      <w:ind w:firstLine="883" w:firstLineChars="200"/>
    </w:pPr>
    <w:rPr>
      <w:rFonts w:eastAsia="仿宋_GB2312" w:asciiTheme="minorAscii" w:hAnsiTheme="minorAscii"/>
      <w:sz w:val="32"/>
      <w:szCs w:val="24"/>
    </w:rPr>
  </w:style>
  <w:style w:type="paragraph" w:styleId="3">
    <w:name w:val="Body Text"/>
    <w:basedOn w:val="1"/>
    <w:next w:val="2"/>
    <w:qFormat/>
    <w:uiPriority w:val="0"/>
    <w:pPr>
      <w:spacing w:afterLines="0" w:afterAutospacing="0"/>
      <w:ind w:firstLine="880" w:firstLineChars="200"/>
    </w:pPr>
    <w:rPr>
      <w:rFonts w:ascii="仿宋_GB2312" w:hAnsi="仿宋_GB2312"/>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Hyperlink"/>
    <w:basedOn w:val="7"/>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3466</Words>
  <Characters>3552</Characters>
  <Lines>0</Lines>
  <Paragraphs>0</Paragraphs>
  <TotalTime>0</TotalTime>
  <ScaleCrop>false</ScaleCrop>
  <LinksUpToDate>false</LinksUpToDate>
  <CharactersWithSpaces>3552</CharactersWithSpaces>
  <Application>WPS Office_11.8.2.11473_F1E327BC-269C-435d-A152-05C5408002CA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2022-10-13T08:07:00Z</dcterms:created>
  <dc:creator>Administrator</dc:creator>
  <cp:lastModifiedBy>Administrator</cp:lastModifiedBy>
  <cp:lastPrinted>2022-10-14T01:33:00Z</cp:lastPrinted>
  <dcterms:modified xsi:type="dcterms:W3CDTF">2022-10-14T01:56:26Z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2052-11.8.2.11473</vt:lpwstr>
  </property>
  <property fmtid="{D5CDD505-2E9C-101B-9397-08002B2CF9AE}" pid="3" name="ICV">
    <vt:lpwstr>3009971DF549493F8BA103572DB600BD</vt:lpwstr>
  </property>
</Properties>
</file>